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1F43E" w14:textId="5BF1BEBC" w:rsidR="000B3597" w:rsidRPr="00C0562F" w:rsidRDefault="009C04F3" w:rsidP="00C0562F">
      <w:pPr>
        <w:jc w:val="center"/>
        <w:rPr>
          <w:b/>
          <w:bCs/>
        </w:rPr>
      </w:pPr>
      <w:r w:rsidRPr="00C0562F">
        <w:rPr>
          <w:b/>
          <w:bCs/>
        </w:rPr>
        <w:t>Letter of Medical Necessity</w:t>
      </w:r>
    </w:p>
    <w:tbl>
      <w:tblPr>
        <w:tblStyle w:val="TableGrid"/>
        <w:tblW w:w="0" w:type="auto"/>
        <w:tblLook w:val="04A0" w:firstRow="1" w:lastRow="0" w:firstColumn="1" w:lastColumn="0" w:noHBand="0" w:noVBand="1"/>
      </w:tblPr>
      <w:tblGrid>
        <w:gridCol w:w="2515"/>
        <w:gridCol w:w="4680"/>
      </w:tblGrid>
      <w:tr w:rsidR="004134B8" w:rsidRPr="001B551A" w14:paraId="4E3BAEC5" w14:textId="77777777" w:rsidTr="004134B8">
        <w:tc>
          <w:tcPr>
            <w:tcW w:w="2515" w:type="dxa"/>
            <w:shd w:val="clear" w:color="auto" w:fill="D9D9D9" w:themeFill="background1" w:themeFillShade="D9"/>
          </w:tcPr>
          <w:p w14:paraId="026AD750" w14:textId="34A7205E" w:rsidR="009C04F3" w:rsidRPr="001B551A" w:rsidRDefault="009C04F3" w:rsidP="001B551A">
            <w:r w:rsidRPr="001B551A">
              <w:t>Name</w:t>
            </w:r>
          </w:p>
        </w:tc>
        <w:tc>
          <w:tcPr>
            <w:tcW w:w="4680" w:type="dxa"/>
          </w:tcPr>
          <w:p w14:paraId="57D2D4D4" w14:textId="2B664FF4" w:rsidR="009C04F3" w:rsidRPr="001B551A" w:rsidRDefault="004134B8" w:rsidP="001B551A">
            <w:r w:rsidRPr="001B551A">
              <w:t>John Doe</w:t>
            </w:r>
          </w:p>
        </w:tc>
      </w:tr>
      <w:tr w:rsidR="004134B8" w:rsidRPr="001B551A" w14:paraId="2F8DE810" w14:textId="77777777" w:rsidTr="004134B8">
        <w:tc>
          <w:tcPr>
            <w:tcW w:w="2515" w:type="dxa"/>
            <w:shd w:val="clear" w:color="auto" w:fill="D9D9D9" w:themeFill="background1" w:themeFillShade="D9"/>
          </w:tcPr>
          <w:p w14:paraId="11E1E135" w14:textId="5C49FF76" w:rsidR="009C04F3" w:rsidRPr="001B551A" w:rsidRDefault="009C04F3" w:rsidP="001B551A">
            <w:r w:rsidRPr="001B551A">
              <w:t>Date of Birth</w:t>
            </w:r>
          </w:p>
        </w:tc>
        <w:tc>
          <w:tcPr>
            <w:tcW w:w="4680" w:type="dxa"/>
          </w:tcPr>
          <w:p w14:paraId="21896900" w14:textId="3276A287" w:rsidR="009C04F3" w:rsidRPr="001B551A" w:rsidRDefault="004134B8" w:rsidP="001B551A">
            <w:r w:rsidRPr="001B551A">
              <w:t>XX/XX/XXXX</w:t>
            </w:r>
          </w:p>
        </w:tc>
      </w:tr>
      <w:tr w:rsidR="004134B8" w:rsidRPr="001B551A" w14:paraId="15296F40" w14:textId="77777777" w:rsidTr="004134B8">
        <w:tc>
          <w:tcPr>
            <w:tcW w:w="2515" w:type="dxa"/>
            <w:shd w:val="clear" w:color="auto" w:fill="D9D9D9" w:themeFill="background1" w:themeFillShade="D9"/>
          </w:tcPr>
          <w:p w14:paraId="16E4C276" w14:textId="04AF4289" w:rsidR="009C04F3" w:rsidRPr="001B551A" w:rsidRDefault="009C04F3" w:rsidP="001B551A">
            <w:r w:rsidRPr="001B551A">
              <w:t xml:space="preserve">Insurance </w:t>
            </w:r>
            <w:r w:rsidR="009225D1" w:rsidRPr="001B551A">
              <w:t>ID #</w:t>
            </w:r>
          </w:p>
        </w:tc>
        <w:tc>
          <w:tcPr>
            <w:tcW w:w="4680" w:type="dxa"/>
          </w:tcPr>
          <w:p w14:paraId="6104EDF3" w14:textId="1B25007E" w:rsidR="009C04F3" w:rsidRPr="001B551A" w:rsidRDefault="009225D1" w:rsidP="001B551A">
            <w:r w:rsidRPr="001B551A">
              <w:t>54321</w:t>
            </w:r>
          </w:p>
        </w:tc>
      </w:tr>
      <w:tr w:rsidR="004134B8" w:rsidRPr="001B551A" w14:paraId="5F23D095" w14:textId="77777777" w:rsidTr="004134B8">
        <w:tc>
          <w:tcPr>
            <w:tcW w:w="2515" w:type="dxa"/>
            <w:shd w:val="clear" w:color="auto" w:fill="D9D9D9" w:themeFill="background1" w:themeFillShade="D9"/>
          </w:tcPr>
          <w:p w14:paraId="20986DB6" w14:textId="42242901" w:rsidR="008D437F" w:rsidRPr="001B551A" w:rsidRDefault="009225D1" w:rsidP="001B551A">
            <w:r w:rsidRPr="001B551A">
              <w:t>Insurance Group #</w:t>
            </w:r>
          </w:p>
        </w:tc>
        <w:tc>
          <w:tcPr>
            <w:tcW w:w="4680" w:type="dxa"/>
          </w:tcPr>
          <w:p w14:paraId="12B5AFBE" w14:textId="362077BC" w:rsidR="008D437F" w:rsidRPr="001B551A" w:rsidRDefault="009225D1" w:rsidP="001B551A">
            <w:r w:rsidRPr="001B551A">
              <w:t>R1234</w:t>
            </w:r>
          </w:p>
        </w:tc>
      </w:tr>
      <w:tr w:rsidR="009225D1" w:rsidRPr="001B551A" w14:paraId="43C217BC" w14:textId="77777777" w:rsidTr="004134B8">
        <w:tc>
          <w:tcPr>
            <w:tcW w:w="2515" w:type="dxa"/>
            <w:shd w:val="clear" w:color="auto" w:fill="D9D9D9" w:themeFill="background1" w:themeFillShade="D9"/>
          </w:tcPr>
          <w:p w14:paraId="58F6B511" w14:textId="5B3F0B9C" w:rsidR="009225D1" w:rsidRPr="001B551A" w:rsidRDefault="009225D1" w:rsidP="001B551A">
            <w:r w:rsidRPr="001B551A">
              <w:t>Physician Name</w:t>
            </w:r>
          </w:p>
        </w:tc>
        <w:tc>
          <w:tcPr>
            <w:tcW w:w="4680" w:type="dxa"/>
          </w:tcPr>
          <w:p w14:paraId="0B8D38A0" w14:textId="1CAD4337" w:rsidR="009225D1" w:rsidRPr="001B551A" w:rsidRDefault="009225D1" w:rsidP="001B551A">
            <w:r w:rsidRPr="001B551A">
              <w:t>Dr. Mike Smith</w:t>
            </w:r>
          </w:p>
        </w:tc>
      </w:tr>
      <w:tr w:rsidR="009225D1" w:rsidRPr="001B551A" w14:paraId="392F2BC3" w14:textId="77777777" w:rsidTr="004134B8">
        <w:tc>
          <w:tcPr>
            <w:tcW w:w="2515" w:type="dxa"/>
            <w:shd w:val="clear" w:color="auto" w:fill="D9D9D9" w:themeFill="background1" w:themeFillShade="D9"/>
          </w:tcPr>
          <w:p w14:paraId="00F87007" w14:textId="3DF8678D" w:rsidR="009225D1" w:rsidRPr="001B551A" w:rsidRDefault="009225D1" w:rsidP="001B551A">
            <w:r w:rsidRPr="001B551A">
              <w:t>Physician Facility</w:t>
            </w:r>
          </w:p>
        </w:tc>
        <w:tc>
          <w:tcPr>
            <w:tcW w:w="4680" w:type="dxa"/>
          </w:tcPr>
          <w:p w14:paraId="55EE7C9B" w14:textId="7DA96C81" w:rsidR="009225D1" w:rsidRPr="001B551A" w:rsidRDefault="009225D1" w:rsidP="001B551A">
            <w:r w:rsidRPr="001B551A">
              <w:t>ABC Facility</w:t>
            </w:r>
          </w:p>
        </w:tc>
      </w:tr>
      <w:tr w:rsidR="009225D1" w:rsidRPr="001B551A" w14:paraId="4B5F03F6" w14:textId="77777777" w:rsidTr="004134B8">
        <w:tc>
          <w:tcPr>
            <w:tcW w:w="2515" w:type="dxa"/>
            <w:shd w:val="clear" w:color="auto" w:fill="D9D9D9" w:themeFill="background1" w:themeFillShade="D9"/>
          </w:tcPr>
          <w:p w14:paraId="2AE7D2B0" w14:textId="67B47A5C" w:rsidR="009225D1" w:rsidRPr="001B551A" w:rsidRDefault="009225D1" w:rsidP="001B551A">
            <w:r w:rsidRPr="001B551A">
              <w:t>Physician Address</w:t>
            </w:r>
          </w:p>
        </w:tc>
        <w:tc>
          <w:tcPr>
            <w:tcW w:w="4680" w:type="dxa"/>
          </w:tcPr>
          <w:p w14:paraId="1A8A6C07" w14:textId="11C71209" w:rsidR="009225D1" w:rsidRPr="001B551A" w:rsidRDefault="009225D1" w:rsidP="001B551A">
            <w:r w:rsidRPr="001B551A">
              <w:t>123 Main Street, Anywhere, OH 12345</w:t>
            </w:r>
          </w:p>
        </w:tc>
      </w:tr>
    </w:tbl>
    <w:p w14:paraId="2295DEF3" w14:textId="77777777" w:rsidR="00C0562F" w:rsidRDefault="00C0562F" w:rsidP="001B551A"/>
    <w:p w14:paraId="6EA972AF" w14:textId="1C8B2EFA" w:rsidR="009C04F3" w:rsidRPr="001B551A" w:rsidRDefault="009C04F3" w:rsidP="001B551A">
      <w:r w:rsidRPr="001B551A">
        <w:t>To Whom it May Concern,</w:t>
      </w:r>
    </w:p>
    <w:p w14:paraId="47A12D1E" w14:textId="15469896" w:rsidR="008F03FE" w:rsidRPr="001B551A" w:rsidRDefault="009C04F3" w:rsidP="001B551A">
      <w:r w:rsidRPr="001B551A">
        <w:t xml:space="preserve">I am writing on behalf of my patient, </w:t>
      </w:r>
      <w:r w:rsidR="008F03FE" w:rsidRPr="001B551A">
        <w:t>John Doe</w:t>
      </w:r>
      <w:r w:rsidRPr="001B551A">
        <w:t xml:space="preserve"> [Insurance ID: </w:t>
      </w:r>
      <w:r w:rsidR="009225D1" w:rsidRPr="001B551A">
        <w:t>54321</w:t>
      </w:r>
      <w:r w:rsidRPr="001B551A">
        <w:t xml:space="preserve">, Group Number: </w:t>
      </w:r>
      <w:r w:rsidR="008F03FE" w:rsidRPr="001B551A">
        <w:t>R</w:t>
      </w:r>
      <w:r w:rsidR="009225D1" w:rsidRPr="001B551A">
        <w:t>1234</w:t>
      </w:r>
      <w:r w:rsidRPr="001B551A">
        <w:t xml:space="preserve">], to request medically necessary </w:t>
      </w:r>
      <w:r w:rsidR="004D5682" w:rsidRPr="001B551A">
        <w:t>d</w:t>
      </w:r>
      <w:r w:rsidRPr="001B551A">
        <w:t xml:space="preserve">urable </w:t>
      </w:r>
      <w:r w:rsidR="004D5682" w:rsidRPr="001B551A">
        <w:t>m</w:t>
      </w:r>
      <w:r w:rsidRPr="001B551A">
        <w:t xml:space="preserve">edical </w:t>
      </w:r>
      <w:r w:rsidR="004D5682" w:rsidRPr="001B551A">
        <w:t>e</w:t>
      </w:r>
      <w:r w:rsidRPr="001B551A">
        <w:t xml:space="preserve">quipment for the purpose of self-initiated functional eating. The request is for an Obi powered dining device and 2 Buddy Button accessibility switches for independent operation. </w:t>
      </w:r>
      <w:r w:rsidR="008F03FE" w:rsidRPr="001B551A">
        <w:t xml:space="preserve">I am a Board-Certified Occupational Therapist in the State of Indiana and have been treating John for 2 years. This letter includes John’s relevant past medical history, treatment rationale, and supporting medical </w:t>
      </w:r>
      <w:r w:rsidR="004D5682" w:rsidRPr="001B551A">
        <w:t>research and data.</w:t>
      </w:r>
    </w:p>
    <w:p w14:paraId="125FDBF5" w14:textId="0CB2EFAB" w:rsidR="008D437F" w:rsidRPr="001B551A" w:rsidRDefault="008D437F" w:rsidP="001B551A">
      <w:pPr>
        <w:pBdr>
          <w:bottom w:val="single" w:sz="4" w:space="1" w:color="auto"/>
        </w:pBdr>
        <w:rPr>
          <w:b/>
          <w:bCs/>
        </w:rPr>
      </w:pPr>
      <w:r w:rsidRPr="001B551A">
        <w:rPr>
          <w:b/>
          <w:bCs/>
        </w:rPr>
        <w:t>Diagnosis and Medical History</w:t>
      </w:r>
    </w:p>
    <w:p w14:paraId="78F8FA14" w14:textId="0BD958CD" w:rsidR="008D437F" w:rsidRPr="001B551A" w:rsidRDefault="008F03FE" w:rsidP="001B551A">
      <w:r w:rsidRPr="001B551A">
        <w:t>John</w:t>
      </w:r>
      <w:r w:rsidR="008D437F" w:rsidRPr="001B551A">
        <w:t xml:space="preserve"> is a </w:t>
      </w:r>
      <w:r w:rsidRPr="001B551A">
        <w:t>20</w:t>
      </w:r>
      <w:r w:rsidR="008D437F" w:rsidRPr="001B551A">
        <w:t>-year-old</w:t>
      </w:r>
      <w:r w:rsidRPr="001B551A">
        <w:t xml:space="preserve"> young</w:t>
      </w:r>
      <w:r w:rsidR="008D437F" w:rsidRPr="001B551A">
        <w:t xml:space="preserve"> man with a medical diagnosis of </w:t>
      </w:r>
      <w:r w:rsidRPr="001B551A">
        <w:t>Cerebral Palsy</w:t>
      </w:r>
      <w:r w:rsidR="008D437F" w:rsidRPr="001B551A">
        <w:t xml:space="preserve">. His </w:t>
      </w:r>
      <w:r w:rsidRPr="001B551A">
        <w:t>diagnosis</w:t>
      </w:r>
      <w:r w:rsidR="008D437F" w:rsidRPr="001B551A">
        <w:t xml:space="preserve"> is characterized by involvement of all four limbs, as well as hypertonia throughout his body affecting the fluidity of movement. Often, he has involuntary movements and is strongly affected by uncontrollable primitive reflex movements. The stress of the spasticity has affected his postural alignment; he has scoliosis, windswept hips, along with upper and lower limb contractures.  John is currently a level V on the gross motor function classification system (GMFCS).  He is cognitively and verbally able to participate in his own decision-making process.</w:t>
      </w:r>
    </w:p>
    <w:p w14:paraId="029ECB67" w14:textId="66B21217" w:rsidR="008D437F" w:rsidRPr="001B551A" w:rsidRDefault="008D437F" w:rsidP="001B551A">
      <w:r w:rsidRPr="001B551A">
        <w:t>Because John is unable to feed himself in a conventional way, he is permanently in need of an adapted method.  He has participated in therapy for many years with an emphasis on goals to increase his ability for independent self-feeding.  Many methods have been trialed with little to no long-term success due to the complexity of his disabling condition.</w:t>
      </w:r>
    </w:p>
    <w:p w14:paraId="755E6CE9" w14:textId="058E73C3" w:rsidR="008F03FE" w:rsidRPr="001B551A" w:rsidRDefault="008F03FE" w:rsidP="001B551A">
      <w:pPr>
        <w:pBdr>
          <w:bottom w:val="single" w:sz="4" w:space="1" w:color="auto"/>
        </w:pBdr>
        <w:rPr>
          <w:b/>
          <w:bCs/>
        </w:rPr>
      </w:pPr>
      <w:r w:rsidRPr="001B551A">
        <w:rPr>
          <w:b/>
          <w:bCs/>
        </w:rPr>
        <w:t>Functional Limits</w:t>
      </w:r>
    </w:p>
    <w:p w14:paraId="68822529" w14:textId="71709100" w:rsidR="00CE3FE7" w:rsidRPr="001B551A" w:rsidRDefault="008F03FE" w:rsidP="001B551A">
      <w:r w:rsidRPr="001B551A">
        <w:t>John’s quadriplegia CP prohibits him from performing activities of daily living (ADLs).  He is dependent on caregivers and durable medical equipment (DME) for all ADLs. He is non-ambulatory and requires the use of an attendant propelled wheelchair for mobility.  He has dysarthria, but is able to communicate most of his needs verbally.  He intakes all food and nutrition orally, but is dependent on DME or a caregiver for preparation and physical feeding.</w:t>
      </w:r>
    </w:p>
    <w:p w14:paraId="02E6FE17" w14:textId="235ABBD5" w:rsidR="00CE3FE7" w:rsidRPr="001B551A" w:rsidRDefault="00CE3FE7" w:rsidP="001B551A">
      <w:pPr>
        <w:pBdr>
          <w:bottom w:val="single" w:sz="4" w:space="1" w:color="auto"/>
        </w:pBdr>
        <w:rPr>
          <w:b/>
          <w:bCs/>
        </w:rPr>
      </w:pPr>
      <w:r w:rsidRPr="001B551A">
        <w:rPr>
          <w:b/>
          <w:bCs/>
        </w:rPr>
        <w:t>Current Dining Practices</w:t>
      </w:r>
      <w:r w:rsidR="00EA30F7">
        <w:rPr>
          <w:b/>
          <w:bCs/>
        </w:rPr>
        <w:t xml:space="preserve"> and Medical Necessity</w:t>
      </w:r>
    </w:p>
    <w:p w14:paraId="5288D73D" w14:textId="6A96D79B" w:rsidR="00CE3FE7" w:rsidRPr="001B551A" w:rsidRDefault="00CE3FE7" w:rsidP="001B551A">
      <w:r w:rsidRPr="001B551A">
        <w:t>John is totally dependent upon caregivers to feed him each and every meal due to his inability to use his upper extremities to hold or lift a utensil, or be successful with any myriad of other methods trialed to date.  Therefore, he currently has no way of independently providing any nourishment to himself.  A powered feeding device is the only approach that has been effective and able to provide John access to independent eating at mealtimes, which makes this device medically necessary to allow him to maximize his capability for self-initiated functional eating.  By gaining the ability to functionally feed himself through the Obi trial, John has changed his perception of eating from an arduous, loathsome, and often embarrassing task, to a more normal, enjoyable social experience that all non-disabled people enjoy.  Therefore, it is expected that his net health outcome for the foreseeable future will improve, along with his overall quality of life.</w:t>
      </w:r>
    </w:p>
    <w:p w14:paraId="204BB686" w14:textId="77777777" w:rsidR="00EA30F7" w:rsidRDefault="00EA30F7" w:rsidP="001B551A">
      <w:pPr>
        <w:pBdr>
          <w:bottom w:val="single" w:sz="4" w:space="1" w:color="auto"/>
        </w:pBdr>
        <w:rPr>
          <w:b/>
          <w:bCs/>
        </w:rPr>
      </w:pPr>
    </w:p>
    <w:p w14:paraId="3B8E913D" w14:textId="37DFD06D" w:rsidR="00F90235" w:rsidRPr="001B551A" w:rsidRDefault="00F90235" w:rsidP="001B551A">
      <w:pPr>
        <w:pBdr>
          <w:bottom w:val="single" w:sz="4" w:space="1" w:color="auto"/>
        </w:pBdr>
        <w:rPr>
          <w:b/>
          <w:bCs/>
        </w:rPr>
      </w:pPr>
      <w:r w:rsidRPr="001B551A">
        <w:rPr>
          <w:b/>
          <w:bCs/>
        </w:rPr>
        <w:lastRenderedPageBreak/>
        <w:t>Research and Health Benefits Associated with Independent Dining</w:t>
      </w:r>
    </w:p>
    <w:p w14:paraId="31EAA0BE" w14:textId="7E0CA9F2" w:rsidR="00F90235" w:rsidRPr="001B551A" w:rsidRDefault="00F90235" w:rsidP="001B551A">
      <w:r w:rsidRPr="001B551A">
        <w:t>When it comes to at home or public care of persons with disabilities, feeding can be problematic and even create social isolation. For the user</w:t>
      </w:r>
      <w:r w:rsidR="001F1B4B">
        <w:t>,</w:t>
      </w:r>
      <w:r w:rsidRPr="001B551A">
        <w:t xml:space="preserve"> </w:t>
      </w:r>
      <w:r w:rsidR="0067436C">
        <w:t>the experience of being fed by others</w:t>
      </w:r>
      <w:r w:rsidRPr="001B551A">
        <w:t xml:space="preserve"> could be considered conspicuous and undignified. For the caregiver</w:t>
      </w:r>
      <w:r w:rsidR="001F1B4B">
        <w:t>,</w:t>
      </w:r>
      <w:r w:rsidRPr="001B551A">
        <w:t xml:space="preserve"> this experience tends to be tedious and frustrating. The combination of these feeding issues can lead to dysphagia, malnutrition, high turnover of feeding assistants, and an unenjoyable mealtime experience for the diner.</w:t>
      </w:r>
    </w:p>
    <w:p w14:paraId="1125592A" w14:textId="5D67D920" w:rsidR="00F90235" w:rsidRPr="001B551A" w:rsidRDefault="00F90235" w:rsidP="001B551A">
      <w:r w:rsidRPr="001B551A">
        <w:t xml:space="preserve">There are many health and psychological benefits to independently dining with Obi. Multiple studies indicate that independent dining, to include </w:t>
      </w:r>
      <w:r w:rsidR="001F1B4B">
        <w:t>powered</w:t>
      </w:r>
      <w:r w:rsidRPr="001B551A">
        <w:t xml:space="preserve"> assisted dining, improves quality of life, independence, and freedom [1-2]. Additionally, individuals who depend upon others for feeding may be at a higher risk of developing medical complications, such as Aspiration Pneumonia [3], Gastroesophageal Reflux Disease (GERD) [4], and </w:t>
      </w:r>
      <w:r w:rsidR="00EA30F7">
        <w:t>m</w:t>
      </w:r>
      <w:r w:rsidRPr="001B551A">
        <w:t>alnutrition (especially children) [5-6].</w:t>
      </w:r>
    </w:p>
    <w:p w14:paraId="60DA6650" w14:textId="06804048" w:rsidR="00F90235" w:rsidRPr="001B551A" w:rsidRDefault="00F90235" w:rsidP="001B551A">
      <w:r w:rsidRPr="001B551A">
        <w:t>When considering Aspiration Pneumonia, Langmore et al [3] found that “dependency upon others for feeding emerged as the dominant risk factor.</w:t>
      </w:r>
      <w:r w:rsidR="005821AE">
        <w:t>”</w:t>
      </w:r>
      <w:r w:rsidRPr="001B551A">
        <w:t xml:space="preserve"> Wildi et al [4] reveled that GERD is linked to “more rapid food intake” which is typical of dependent, caregiver-initiated feeding. Obi allows the user to </w:t>
      </w:r>
      <w:r w:rsidR="0005519C">
        <w:t>control their pace of eating, and select their choice of food without the added pressure</w:t>
      </w:r>
      <w:r w:rsidRPr="001B551A">
        <w:t xml:space="preserve"> that would lead to an increased likelihood of aspiration, or increased risk of gastroesophageal reflux disease.  </w:t>
      </w:r>
    </w:p>
    <w:p w14:paraId="359404E6" w14:textId="77777777" w:rsidR="00F90235" w:rsidRPr="001B551A" w:rsidRDefault="00F90235" w:rsidP="001B551A">
      <w:r w:rsidRPr="001B551A">
        <w:t xml:space="preserve">Malnutrition from caregiver assisted feeding (versus robotic assisted feeding) is another overarching concern. Even though ambulatory children with a disability typically have greater energy expenditure due to inefficient biomechanics, Karagiozoglou‐Lampoudi et al [6] discovered that malnutrition in children with disabilities is not associated with deficient caloric intake of foods compared to estimated energy requirements, but instead was associated with lack of self-feeding ability and perceived quality of life linked to motivation. </w:t>
      </w:r>
    </w:p>
    <w:p w14:paraId="6B93F2B1" w14:textId="1D209FCE" w:rsidR="00F90235" w:rsidRPr="00192508" w:rsidRDefault="00F90235" w:rsidP="001B551A">
      <w:pPr>
        <w:rPr>
          <w:b/>
          <w:bCs/>
        </w:rPr>
      </w:pPr>
      <w:r w:rsidRPr="001B551A">
        <w:t>For diners</w:t>
      </w:r>
      <w:r w:rsidR="00E56A07">
        <w:t>,</w:t>
      </w:r>
      <w:r w:rsidRPr="001B551A">
        <w:t xml:space="preserve"> Obi increases quality of life and eating motivation by allowing them to choose the food they wish to eat, freedom to eat at their own pace, the ability to interact with others while dining, and a new-found sense of confidence, dignity, and independence. Obi is designed to provide caregivers with assurance that their patient or family member is gaining independence, while getting time back to their day to care for other patients or family members, and reduces stress caused by time pressure. Time and resource savings for the family, care providers, staff, and diners appeared to result in a more equal relationship between user and care provider. [1] </w:t>
      </w:r>
      <w:r w:rsidRPr="00192508">
        <w:rPr>
          <w:b/>
          <w:bCs/>
        </w:rPr>
        <w:t>The Obi robotic power feeder will likely enhance John’s future medical care trajectory.</w:t>
      </w:r>
    </w:p>
    <w:p w14:paraId="1512B465" w14:textId="77777777" w:rsidR="00F90235" w:rsidRPr="003E12DA" w:rsidRDefault="00F90235" w:rsidP="003E12DA">
      <w:pPr>
        <w:pStyle w:val="ListParagraph"/>
        <w:numPr>
          <w:ilvl w:val="0"/>
          <w:numId w:val="11"/>
        </w:numPr>
        <w:rPr>
          <w:sz w:val="16"/>
          <w:szCs w:val="16"/>
        </w:rPr>
      </w:pPr>
      <w:r w:rsidRPr="003E12DA">
        <w:rPr>
          <w:sz w:val="16"/>
          <w:szCs w:val="16"/>
        </w:rPr>
        <w:t>Mandy A, Sims T, Stew G, Onions D. Manual feeding device experiences of people with a neurodisability. American Journal of Occupational Therapy. 2018 May 1;72(3):7203345010p1-5.</w:t>
      </w:r>
    </w:p>
    <w:p w14:paraId="099F51A0" w14:textId="77777777" w:rsidR="00F90235" w:rsidRPr="003E12DA" w:rsidRDefault="00F90235" w:rsidP="003E12DA">
      <w:pPr>
        <w:pStyle w:val="ListParagraph"/>
        <w:numPr>
          <w:ilvl w:val="0"/>
          <w:numId w:val="11"/>
        </w:numPr>
        <w:rPr>
          <w:sz w:val="16"/>
          <w:szCs w:val="16"/>
        </w:rPr>
      </w:pPr>
      <w:r w:rsidRPr="003E12DA">
        <w:rPr>
          <w:sz w:val="16"/>
          <w:szCs w:val="16"/>
        </w:rPr>
        <w:t>Song WK, Kim J. Novel assistive robot for self-feeding. Robotic Systems-Applications, Control and Programming. 2012 Feb 3:43-60.</w:t>
      </w:r>
    </w:p>
    <w:p w14:paraId="400B0CD0" w14:textId="77777777" w:rsidR="00F90235" w:rsidRPr="003E12DA" w:rsidRDefault="00F90235" w:rsidP="003E12DA">
      <w:pPr>
        <w:pStyle w:val="ListParagraph"/>
        <w:numPr>
          <w:ilvl w:val="0"/>
          <w:numId w:val="11"/>
        </w:numPr>
        <w:rPr>
          <w:sz w:val="16"/>
          <w:szCs w:val="16"/>
        </w:rPr>
      </w:pPr>
      <w:r w:rsidRPr="003E12DA">
        <w:rPr>
          <w:sz w:val="16"/>
          <w:szCs w:val="16"/>
        </w:rPr>
        <w:t>Langmore SE, Terpenning MS, Schork A, Chen Y, Murray JT, Lopatin D, Loesche WJ. Predictors of aspiration pneumonia: how important is dysphagia?. Dysphagia. 1998 Feb 1;13(2):69-81.</w:t>
      </w:r>
    </w:p>
    <w:p w14:paraId="02F76F6B" w14:textId="77777777" w:rsidR="00F90235" w:rsidRPr="003E12DA" w:rsidRDefault="00F90235" w:rsidP="003E12DA">
      <w:pPr>
        <w:pStyle w:val="ListParagraph"/>
        <w:numPr>
          <w:ilvl w:val="0"/>
          <w:numId w:val="11"/>
        </w:numPr>
        <w:rPr>
          <w:sz w:val="16"/>
          <w:szCs w:val="16"/>
        </w:rPr>
      </w:pPr>
      <w:r w:rsidRPr="003E12DA">
        <w:rPr>
          <w:sz w:val="16"/>
          <w:szCs w:val="16"/>
        </w:rPr>
        <w:t>Wildi SM, Tutuian R, Castell DO. The influence of rapid food intake on postprandial reflux: studies in healthy volunteers. The American journal of gastroenterology. 2004 Sep;99(9):1645.</w:t>
      </w:r>
    </w:p>
    <w:p w14:paraId="697A05E7" w14:textId="77777777" w:rsidR="00F90235" w:rsidRPr="003E12DA" w:rsidRDefault="00F90235" w:rsidP="003E12DA">
      <w:pPr>
        <w:pStyle w:val="ListParagraph"/>
        <w:numPr>
          <w:ilvl w:val="0"/>
          <w:numId w:val="11"/>
        </w:numPr>
        <w:rPr>
          <w:sz w:val="16"/>
          <w:szCs w:val="16"/>
        </w:rPr>
      </w:pPr>
      <w:r w:rsidRPr="003E12DA">
        <w:rPr>
          <w:sz w:val="16"/>
          <w:szCs w:val="16"/>
        </w:rPr>
        <w:t>Vik T, Skrove MS, Døllner H, Helland G. Feeding problems and growth disorders among children with cerebral palsy in south and north Trondelag. 2001 May;121(13):1570-4.</w:t>
      </w:r>
    </w:p>
    <w:p w14:paraId="09416B4E" w14:textId="77777777" w:rsidR="00F90235" w:rsidRPr="003E12DA" w:rsidRDefault="00F90235" w:rsidP="003E12DA">
      <w:pPr>
        <w:pStyle w:val="ListParagraph"/>
        <w:numPr>
          <w:ilvl w:val="0"/>
          <w:numId w:val="11"/>
        </w:numPr>
        <w:rPr>
          <w:sz w:val="16"/>
          <w:szCs w:val="16"/>
        </w:rPr>
      </w:pPr>
      <w:r w:rsidRPr="003E12DA">
        <w:rPr>
          <w:sz w:val="16"/>
          <w:szCs w:val="16"/>
        </w:rPr>
        <w:t>Karagiozoglou‐Lampoudi T, Daskalou E, Vargiami E, Zafeiriou D. Identification of feeding risk factors for impaired nutrition status in paediatric patients with cerebral palsy. Acta paediatrica. 2012 Jun;101(6):649-54.</w:t>
      </w:r>
    </w:p>
    <w:p w14:paraId="0F1D0A58" w14:textId="0C0A6D08" w:rsidR="00F90235" w:rsidRPr="001B551A" w:rsidRDefault="00FF2EC3" w:rsidP="001B551A">
      <w:pPr>
        <w:pBdr>
          <w:bottom w:val="single" w:sz="4" w:space="1" w:color="auto"/>
        </w:pBdr>
        <w:rPr>
          <w:b/>
          <w:bCs/>
        </w:rPr>
      </w:pPr>
      <w:r>
        <w:rPr>
          <w:b/>
          <w:bCs/>
        </w:rPr>
        <w:t>Obi Information</w:t>
      </w:r>
    </w:p>
    <w:p w14:paraId="714F0B79" w14:textId="4E6BFEE2" w:rsidR="00F90235" w:rsidRPr="001B551A" w:rsidRDefault="00F90235" w:rsidP="001B551A">
      <w:r w:rsidRPr="001B551A">
        <w:t xml:space="preserve">Obi is a first of its kind, revolutionary dining device for individuals who lack upper extremity function. Through the use of accessibility switches, Obi gives the diner control over both food selection and delivery, while increasing independence and social interaction. The device is FDA-compliant as a Class I Medical Device that went to market in 2016 after a decade of development and extensive testing with diverse user groups. The second generation Obi was released in September 2019, which provides smoother motions, longer run times, and world class reliability. </w:t>
      </w:r>
    </w:p>
    <w:p w14:paraId="200B8DC8" w14:textId="494E78F9" w:rsidR="00F90235" w:rsidRPr="001B551A" w:rsidRDefault="00F90235" w:rsidP="001B551A">
      <w:r w:rsidRPr="001B551A">
        <w:t xml:space="preserve">Obi’s key functionality is a robotic arm, which mimics the motion of a human arm, and becomes an extension of the diner, that selects virtually any properly-sized food from one of four compartments before delivering the food to one of several thousand potential locations where the diner can eat from the spoon. This selection and delivery versatility </w:t>
      </w:r>
      <w:r w:rsidRPr="001B551A">
        <w:lastRenderedPageBreak/>
        <w:t>means that the Obi can accommodate nearly any age demographic and diner preferred position or orientation.  This device will grow with John as he physically matures, as his functional limitations change due to subsequent surgeries, and/or as his mobility requirements change requiring seating position alterations. Additionally, Obi is a teachable, robotic feeding device which means that as John’s motor control ability and range of motion changes, Obi can change with him.</w:t>
      </w:r>
    </w:p>
    <w:p w14:paraId="51C4CED2" w14:textId="3CF36948" w:rsidR="00F90235" w:rsidRPr="001B551A" w:rsidRDefault="00F90235" w:rsidP="001B551A">
      <w:r w:rsidRPr="001B551A">
        <w:t xml:space="preserve">Obi is easily controlled by two intuitive simple switches using any available body part and requires minimal initial training. Obi can be taught a new location in seconds, has </w:t>
      </w:r>
      <w:r w:rsidR="00ED2F55">
        <w:t>c</w:t>
      </w:r>
      <w:r w:rsidRPr="001B551A">
        <w:t xml:space="preserve">ollision </w:t>
      </w:r>
      <w:r w:rsidR="00ED2F55">
        <w:t>d</w:t>
      </w:r>
      <w:r w:rsidRPr="001B551A">
        <w:t xml:space="preserve">etection for safety, effective portion control and food repositioning to avoid aspiration, and multi-directional </w:t>
      </w:r>
      <w:r w:rsidR="004134B8" w:rsidRPr="001B551A">
        <w:t>f</w:t>
      </w:r>
      <w:r w:rsidRPr="001B551A">
        <w:t>ood capturing to ensure adequate nutritional intake. John is fully cognitively functional which allowed him to easily learn to use the Obi to become an independent eater back in</w:t>
      </w:r>
      <w:r w:rsidR="000B6AE4">
        <w:t xml:space="preserve"> June</w:t>
      </w:r>
      <w:r w:rsidRPr="001B551A">
        <w:t xml:space="preserve"> 2019 when he trialed the device.</w:t>
      </w:r>
    </w:p>
    <w:p w14:paraId="31AD5FC0" w14:textId="5DB10F9E" w:rsidR="00F90235" w:rsidRPr="001B551A" w:rsidRDefault="00F90235" w:rsidP="001B551A">
      <w:pPr>
        <w:pBdr>
          <w:bottom w:val="single" w:sz="4" w:space="1" w:color="auto"/>
        </w:pBdr>
        <w:rPr>
          <w:b/>
          <w:bCs/>
        </w:rPr>
      </w:pPr>
      <w:r w:rsidRPr="001B551A">
        <w:rPr>
          <w:b/>
          <w:bCs/>
        </w:rPr>
        <w:t>Obi Demonstration</w:t>
      </w:r>
    </w:p>
    <w:p w14:paraId="764AFF34" w14:textId="350C8A1C" w:rsidR="00F90235" w:rsidRPr="001B551A" w:rsidRDefault="00F90235" w:rsidP="001B551A">
      <w:r w:rsidRPr="001B551A">
        <w:t xml:space="preserve">In June 2019, John completed an Obi trial at the ABC Healthcare Facility in the Occupational Therapy Department. He trialed Obi with soft pudding and even water (to mimic soup consistency) and didn’t spill one single drop! John thoroughly enjoyed </w:t>
      </w:r>
      <w:r w:rsidR="004134B8" w:rsidRPr="001B551A">
        <w:t>his dining</w:t>
      </w:r>
      <w:r w:rsidRPr="001B551A">
        <w:t xml:space="preserve"> experience</w:t>
      </w:r>
      <w:r w:rsidR="004134B8" w:rsidRPr="001B551A">
        <w:t xml:space="preserve"> and his</w:t>
      </w:r>
      <w:r w:rsidRPr="001B551A">
        <w:t xml:space="preserve"> motivation to eat instantly spiked. John had a new found joy of independent </w:t>
      </w:r>
      <w:r w:rsidR="004134B8" w:rsidRPr="001B551A">
        <w:t>dining</w:t>
      </w:r>
      <w:r w:rsidRPr="001B551A">
        <w:t xml:space="preserve"> that he had not known before. On a health focused note, this independence will decrease the likelihood of aspiration, or risk of gastroesophageal reflux disease while increasing his nutrition and quality of life.  Currently, </w:t>
      </w:r>
      <w:r w:rsidR="004134B8" w:rsidRPr="001B551A">
        <w:t>John</w:t>
      </w:r>
      <w:r w:rsidRPr="001B551A">
        <w:t xml:space="preserve"> is in the bottom</w:t>
      </w:r>
      <w:r w:rsidR="004134B8" w:rsidRPr="001B551A">
        <w:t xml:space="preserve"> 1st </w:t>
      </w:r>
      <w:r w:rsidRPr="001B551A">
        <w:t xml:space="preserve">percentile for Body Mass Index (BMI), </w:t>
      </w:r>
      <w:r w:rsidR="004134B8" w:rsidRPr="001B551A">
        <w:t>2</w:t>
      </w:r>
      <w:r w:rsidRPr="001B551A">
        <w:t xml:space="preserve">nd percentile for weight, and </w:t>
      </w:r>
      <w:r w:rsidR="004134B8" w:rsidRPr="001B551A">
        <w:t>4</w:t>
      </w:r>
      <w:r w:rsidRPr="001B551A">
        <w:t xml:space="preserve">th percentile for height as a </w:t>
      </w:r>
      <w:r w:rsidR="004134B8" w:rsidRPr="001B551A">
        <w:t>20</w:t>
      </w:r>
      <w:r w:rsidRPr="001B551A">
        <w:t>-year-old male. So, avoiding malnourishment and growth retardation are top priorities for family and caregivers.</w:t>
      </w:r>
    </w:p>
    <w:p w14:paraId="07E280AC" w14:textId="19E2DF13" w:rsidR="00F90235" w:rsidRPr="001B551A" w:rsidRDefault="00F90235" w:rsidP="001B551A">
      <w:r w:rsidRPr="001B551A">
        <w:t xml:space="preserve">In regards to socialization, Obi has a modern iconic, natural flowing form, personable gestures, and life-like motions. It is quiet, graceful, and inconspicuous allowing peers to focus on the person eating rather than the device. For caregivers, Obi can easily be transported to public </w:t>
      </w:r>
      <w:r w:rsidR="00E0334E">
        <w:t>venues as it is</w:t>
      </w:r>
      <w:r w:rsidR="0005519C">
        <w:t xml:space="preserve"> lightweight</w:t>
      </w:r>
      <w:r w:rsidR="00E0334E">
        <w:t>, easy to set up, and the entire device only takes up the space of a standard placemat.</w:t>
      </w:r>
      <w:r w:rsidRPr="001B551A">
        <w:t xml:space="preserve"> It can be carried in a protective case much like a laptop to foster public outings to restaurants which are significantly more challenging for </w:t>
      </w:r>
      <w:r w:rsidR="004134B8" w:rsidRPr="001B551A">
        <w:t>John</w:t>
      </w:r>
      <w:r w:rsidRPr="001B551A">
        <w:t xml:space="preserve"> and his caregivers; especially when with his entire family including</w:t>
      </w:r>
      <w:r w:rsidR="004134B8" w:rsidRPr="001B551A">
        <w:t xml:space="preserve"> </w:t>
      </w:r>
      <w:r w:rsidRPr="001B551A">
        <w:t>his younger siblings.</w:t>
      </w:r>
    </w:p>
    <w:p w14:paraId="7BFCBACF" w14:textId="066C3619" w:rsidR="00CE3FE7" w:rsidRPr="001B551A" w:rsidRDefault="00CE3FE7" w:rsidP="001B551A">
      <w:pPr>
        <w:pBdr>
          <w:bottom w:val="single" w:sz="4" w:space="1" w:color="auto"/>
        </w:pBdr>
        <w:rPr>
          <w:b/>
          <w:bCs/>
        </w:rPr>
      </w:pPr>
      <w:r w:rsidRPr="001B551A">
        <w:rPr>
          <w:b/>
          <w:bCs/>
        </w:rPr>
        <w:t>Obi</w:t>
      </w:r>
      <w:r w:rsidR="004134B8" w:rsidRPr="001B551A">
        <w:rPr>
          <w:b/>
          <w:bCs/>
        </w:rPr>
        <w:t xml:space="preserve"> Credentials</w:t>
      </w:r>
    </w:p>
    <w:p w14:paraId="4D8FF2E1" w14:textId="77777777" w:rsidR="0044155C" w:rsidRPr="001B551A" w:rsidRDefault="0044155C" w:rsidP="001B551A">
      <w:pPr>
        <w:rPr>
          <w:b/>
          <w:bCs/>
        </w:rPr>
      </w:pPr>
      <w:r w:rsidRPr="001B551A">
        <w:rPr>
          <w:b/>
          <w:bCs/>
        </w:rPr>
        <w:t>Regulatory and Compliance</w:t>
      </w:r>
    </w:p>
    <w:p w14:paraId="26657AAE" w14:textId="77777777" w:rsidR="0044155C" w:rsidRPr="001B551A" w:rsidRDefault="0044155C" w:rsidP="001B551A">
      <w:pPr>
        <w:pStyle w:val="ListParagraph"/>
        <w:numPr>
          <w:ilvl w:val="0"/>
          <w:numId w:val="8"/>
        </w:numPr>
      </w:pPr>
      <w:r w:rsidRPr="001B551A">
        <w:t>FDA Compliant (Class I Medical Device, 510(k) exempt</w:t>
      </w:r>
    </w:p>
    <w:p w14:paraId="53DDE163" w14:textId="1A0B651B" w:rsidR="0044155C" w:rsidRPr="001B551A" w:rsidRDefault="0044155C" w:rsidP="001B551A">
      <w:pPr>
        <w:pStyle w:val="ListParagraph"/>
        <w:numPr>
          <w:ilvl w:val="0"/>
          <w:numId w:val="8"/>
        </w:numPr>
      </w:pPr>
      <w:r w:rsidRPr="001B551A">
        <w:t>CE Compliant (Active, Class I Medical Device, Non-Sterile, Non-Measuring)</w:t>
      </w:r>
    </w:p>
    <w:p w14:paraId="021C8310" w14:textId="77777777" w:rsidR="0044155C" w:rsidRPr="001B551A" w:rsidRDefault="0044155C" w:rsidP="001B551A">
      <w:pPr>
        <w:rPr>
          <w:b/>
          <w:bCs/>
        </w:rPr>
      </w:pPr>
      <w:r w:rsidRPr="001B551A">
        <w:rPr>
          <w:b/>
          <w:bCs/>
        </w:rPr>
        <w:t>Conforms with the following standards:</w:t>
      </w:r>
    </w:p>
    <w:p w14:paraId="1ADCA61A" w14:textId="77777777" w:rsidR="0044155C" w:rsidRPr="001B551A" w:rsidRDefault="0044155C" w:rsidP="001B551A">
      <w:pPr>
        <w:pStyle w:val="ListParagraph"/>
        <w:numPr>
          <w:ilvl w:val="0"/>
          <w:numId w:val="9"/>
        </w:numPr>
      </w:pPr>
      <w:r w:rsidRPr="001B551A">
        <w:t>EN ISO 14971 R2012 Application of risk management to medical devices</w:t>
      </w:r>
    </w:p>
    <w:p w14:paraId="1DDCEA26" w14:textId="77777777" w:rsidR="0044155C" w:rsidRPr="001B551A" w:rsidRDefault="0044155C" w:rsidP="001B551A">
      <w:pPr>
        <w:pStyle w:val="ListParagraph"/>
        <w:numPr>
          <w:ilvl w:val="0"/>
          <w:numId w:val="9"/>
        </w:numPr>
      </w:pPr>
      <w:r w:rsidRPr="001B551A">
        <w:t>IEC60601-1-2: 2014 Medical electrical equipment – Electromagnetic compatibility (EMC) for medical devices</w:t>
      </w:r>
    </w:p>
    <w:p w14:paraId="3F0F6ED9" w14:textId="77777777" w:rsidR="0044155C" w:rsidRPr="001B551A" w:rsidRDefault="0044155C" w:rsidP="001B551A">
      <w:pPr>
        <w:pStyle w:val="ListParagraph"/>
        <w:numPr>
          <w:ilvl w:val="0"/>
          <w:numId w:val="9"/>
        </w:numPr>
      </w:pPr>
      <w:r w:rsidRPr="001B551A">
        <w:t>IEC60601-1-6: 2010 Medical electrical equipment – Usability</w:t>
      </w:r>
    </w:p>
    <w:p w14:paraId="4E1C59C4" w14:textId="77777777" w:rsidR="0044155C" w:rsidRPr="001B551A" w:rsidRDefault="0044155C" w:rsidP="001B551A">
      <w:pPr>
        <w:pStyle w:val="ListParagraph"/>
        <w:numPr>
          <w:ilvl w:val="0"/>
          <w:numId w:val="9"/>
        </w:numPr>
      </w:pPr>
      <w:r w:rsidRPr="001B551A">
        <w:t>NEN EN 15284: 2007 Materials and articles in contact with food stuffs. Test method for the resistance to microwave heating of ceramic, glass, glass-ceramic or plastic cookware</w:t>
      </w:r>
    </w:p>
    <w:p w14:paraId="30AC935D" w14:textId="77777777" w:rsidR="0044155C" w:rsidRPr="001B551A" w:rsidRDefault="0044155C" w:rsidP="001B551A">
      <w:pPr>
        <w:pStyle w:val="ListParagraph"/>
        <w:numPr>
          <w:ilvl w:val="0"/>
          <w:numId w:val="9"/>
        </w:numPr>
      </w:pPr>
      <w:r w:rsidRPr="001B551A">
        <w:t>UL 1431: 2011 Personal Healthcare &amp; Hygiene Appliances</w:t>
      </w:r>
    </w:p>
    <w:p w14:paraId="28ABBC75" w14:textId="423281AB" w:rsidR="00AC2188" w:rsidRPr="001B551A" w:rsidRDefault="00AC2188" w:rsidP="001B551A">
      <w:r w:rsidRPr="001B551A">
        <w:t xml:space="preserve">Obi has been recognized as a useful and valid tool by multiple premier </w:t>
      </w:r>
      <w:r w:rsidR="00DE29D7" w:rsidRPr="001B551A">
        <w:t xml:space="preserve">medical and engineering </w:t>
      </w:r>
      <w:r w:rsidRPr="001B551A">
        <w:t>organizations, such as:</w:t>
      </w:r>
    </w:p>
    <w:p w14:paraId="69EA957E" w14:textId="77777777" w:rsidR="00DE29D7" w:rsidRPr="001B551A" w:rsidRDefault="00AC2188" w:rsidP="001B551A">
      <w:pPr>
        <w:pStyle w:val="ListParagraph"/>
        <w:numPr>
          <w:ilvl w:val="0"/>
          <w:numId w:val="10"/>
        </w:numPr>
        <w:rPr>
          <w:b/>
          <w:bCs/>
        </w:rPr>
      </w:pPr>
      <w:r w:rsidRPr="001B551A">
        <w:rPr>
          <w:b/>
          <w:bCs/>
        </w:rPr>
        <w:t>Medical Design Excellence Awards (MDEA)</w:t>
      </w:r>
      <w:r w:rsidR="00DE29D7" w:rsidRPr="001B551A">
        <w:rPr>
          <w:b/>
          <w:bCs/>
        </w:rPr>
        <w:t xml:space="preserve"> – Gold Winner</w:t>
      </w:r>
    </w:p>
    <w:p w14:paraId="695EFFB7" w14:textId="15202903" w:rsidR="00AC2188" w:rsidRPr="001B551A" w:rsidRDefault="00AC2188" w:rsidP="001B551A">
      <w:pPr>
        <w:pStyle w:val="ListParagraph"/>
        <w:numPr>
          <w:ilvl w:val="1"/>
          <w:numId w:val="10"/>
        </w:numPr>
      </w:pPr>
      <w:r w:rsidRPr="001B551A">
        <w:t>Rehabilitation and Assistive-Technology Products Category (2018)</w:t>
      </w:r>
    </w:p>
    <w:p w14:paraId="02503A2E" w14:textId="7C8500B2" w:rsidR="00AC2188" w:rsidRPr="001B551A" w:rsidRDefault="00AC2188" w:rsidP="001B551A">
      <w:pPr>
        <w:pStyle w:val="ListParagraph"/>
        <w:numPr>
          <w:ilvl w:val="1"/>
          <w:numId w:val="10"/>
        </w:numPr>
      </w:pPr>
      <w:r w:rsidRPr="001B551A">
        <w:t>The MDEAs are the medical technology industry’s premier design competition committed to searching for the world’s highest caliber finished medical devices available on the market that are saving lives and improving patient healthcare.</w:t>
      </w:r>
    </w:p>
    <w:p w14:paraId="1CDF4CF9" w14:textId="6EED6A35" w:rsidR="00DE29D7" w:rsidRPr="001B551A" w:rsidRDefault="00AC2188" w:rsidP="001B551A">
      <w:pPr>
        <w:pStyle w:val="ListParagraph"/>
        <w:numPr>
          <w:ilvl w:val="0"/>
          <w:numId w:val="10"/>
        </w:numPr>
        <w:rPr>
          <w:b/>
          <w:bCs/>
        </w:rPr>
      </w:pPr>
      <w:r w:rsidRPr="001B551A">
        <w:rPr>
          <w:b/>
          <w:bCs/>
        </w:rPr>
        <w:t>R&amp;D 100 Awards</w:t>
      </w:r>
      <w:r w:rsidR="00DE29D7" w:rsidRPr="001B551A">
        <w:rPr>
          <w:b/>
          <w:bCs/>
        </w:rPr>
        <w:t xml:space="preserve"> - Winner</w:t>
      </w:r>
      <w:r w:rsidRPr="001B551A">
        <w:rPr>
          <w:b/>
          <w:bCs/>
        </w:rPr>
        <w:t xml:space="preserve"> </w:t>
      </w:r>
    </w:p>
    <w:p w14:paraId="6E5CFBE0" w14:textId="77777777" w:rsidR="00DE29D7" w:rsidRPr="001B551A" w:rsidRDefault="00AC2188" w:rsidP="001B551A">
      <w:pPr>
        <w:pStyle w:val="ListParagraph"/>
        <w:numPr>
          <w:ilvl w:val="1"/>
          <w:numId w:val="10"/>
        </w:numPr>
      </w:pPr>
      <w:r w:rsidRPr="001B551A">
        <w:lastRenderedPageBreak/>
        <w:t xml:space="preserve">Mechanical/Materials </w:t>
      </w:r>
      <w:r w:rsidR="00DE29D7" w:rsidRPr="001B551A">
        <w:t>C</w:t>
      </w:r>
      <w:r w:rsidRPr="001B551A">
        <w:t xml:space="preserve">ategory (2016) </w:t>
      </w:r>
    </w:p>
    <w:p w14:paraId="46DD7B3D" w14:textId="7616A848" w:rsidR="00AC2188" w:rsidRPr="001B551A" w:rsidRDefault="00DE29D7" w:rsidP="001B551A">
      <w:pPr>
        <w:pStyle w:val="ListParagraph"/>
        <w:numPr>
          <w:ilvl w:val="1"/>
          <w:numId w:val="10"/>
        </w:numPr>
      </w:pPr>
      <w:r w:rsidRPr="001B551A">
        <w:t xml:space="preserve">The R&amp;D 100 awards </w:t>
      </w:r>
      <w:r w:rsidR="00AC2188" w:rsidRPr="001B551A">
        <w:t xml:space="preserve">celebrates the “100 most technically significant breakthroughs in the marketplace” </w:t>
      </w:r>
    </w:p>
    <w:p w14:paraId="46AB5935" w14:textId="7970F9F0" w:rsidR="00AC2188" w:rsidRPr="001B551A" w:rsidRDefault="00AC2188" w:rsidP="001B551A">
      <w:pPr>
        <w:pStyle w:val="ListParagraph"/>
        <w:numPr>
          <w:ilvl w:val="0"/>
          <w:numId w:val="10"/>
        </w:numPr>
        <w:rPr>
          <w:b/>
          <w:bCs/>
        </w:rPr>
      </w:pPr>
      <w:r w:rsidRPr="001B551A">
        <w:rPr>
          <w:b/>
          <w:bCs/>
        </w:rPr>
        <w:t>International Design Excellence Awards</w:t>
      </w:r>
      <w:r w:rsidR="00DE29D7" w:rsidRPr="001B551A">
        <w:rPr>
          <w:b/>
          <w:bCs/>
        </w:rPr>
        <w:t xml:space="preserve"> - Finalist</w:t>
      </w:r>
    </w:p>
    <w:p w14:paraId="03525F72" w14:textId="1A29A875" w:rsidR="00DE29D7" w:rsidRPr="001B551A" w:rsidRDefault="000B3123" w:rsidP="001B551A">
      <w:pPr>
        <w:pStyle w:val="ListParagraph"/>
        <w:numPr>
          <w:ilvl w:val="1"/>
          <w:numId w:val="10"/>
        </w:numPr>
      </w:pPr>
      <w:r>
        <w:t>Medical &amp; Health Category (</w:t>
      </w:r>
      <w:r w:rsidR="00DE29D7" w:rsidRPr="001B551A">
        <w:t>2016</w:t>
      </w:r>
      <w:r>
        <w:t>)</w:t>
      </w:r>
      <w:bookmarkStart w:id="0" w:name="_GoBack"/>
      <w:bookmarkEnd w:id="0"/>
    </w:p>
    <w:p w14:paraId="3110281B" w14:textId="2FC017EE" w:rsidR="00DE29D7" w:rsidRPr="001B551A" w:rsidRDefault="00DE29D7" w:rsidP="001B551A">
      <w:pPr>
        <w:pStyle w:val="ListParagraph"/>
        <w:numPr>
          <w:ilvl w:val="1"/>
          <w:numId w:val="10"/>
        </w:numPr>
      </w:pPr>
      <w:r w:rsidRPr="001B551A">
        <w:t>The IDEA is one of the longest running and most prestigious design awards programs in the world</w:t>
      </w:r>
      <w:r w:rsidR="00D4690C" w:rsidRPr="001B551A">
        <w:t>.</w:t>
      </w:r>
    </w:p>
    <w:p w14:paraId="3591534C" w14:textId="1CF7D8DA" w:rsidR="00AC2188" w:rsidRPr="003465C1" w:rsidRDefault="004134B8" w:rsidP="003465C1">
      <w:pPr>
        <w:pBdr>
          <w:bottom w:val="single" w:sz="4" w:space="1" w:color="auto"/>
        </w:pBdr>
        <w:rPr>
          <w:b/>
          <w:bCs/>
        </w:rPr>
      </w:pPr>
      <w:r w:rsidRPr="003465C1">
        <w:rPr>
          <w:b/>
          <w:bCs/>
        </w:rPr>
        <w:t>Conclusion</w:t>
      </w:r>
    </w:p>
    <w:p w14:paraId="374A872A" w14:textId="7FF1C50B" w:rsidR="0005519C" w:rsidRDefault="004134B8" w:rsidP="001B551A">
      <w:r w:rsidRPr="001B551A">
        <w:t xml:space="preserve">Obi is a </w:t>
      </w:r>
      <w:r w:rsidR="0005519C">
        <w:t xml:space="preserve">medically-necessary, </w:t>
      </w:r>
      <w:r w:rsidRPr="001B551A">
        <w:t xml:space="preserve">breakthrough dining device </w:t>
      </w:r>
      <w:r w:rsidR="0005519C">
        <w:t xml:space="preserve">that </w:t>
      </w:r>
      <w:r w:rsidR="00D92F6F">
        <w:t>has the potential to i</w:t>
      </w:r>
      <w:r w:rsidR="00141F38">
        <w:t xml:space="preserve">ncrease nutrition, caloric intake, and </w:t>
      </w:r>
      <w:r w:rsidR="00D92F6F">
        <w:t xml:space="preserve">quality of life while decreasing the likelihood of medical conditions such as Aspiration Pneumonia, GERD, and </w:t>
      </w:r>
      <w:r w:rsidR="005815D6">
        <w:t>m</w:t>
      </w:r>
      <w:r w:rsidR="00141F38">
        <w:t>alnutrition. Obi is</w:t>
      </w:r>
      <w:r w:rsidR="00141F38" w:rsidRPr="001B551A">
        <w:t xml:space="preserve"> the only approach that has been effective and able to provide John access to independent eating at mealtimes, which makes this device medically necessary to allow him to maximize his capability for self-initiated functional eating.  </w:t>
      </w:r>
      <w:r w:rsidR="00141F38">
        <w:t>For these reasons, I highly recommend that an Obi dining device be provided for him.</w:t>
      </w:r>
    </w:p>
    <w:p w14:paraId="400F72FC" w14:textId="77777777" w:rsidR="00141F38" w:rsidRDefault="00141F38" w:rsidP="001B551A"/>
    <w:p w14:paraId="729A539C" w14:textId="7A58E9D4" w:rsidR="004134B8" w:rsidRPr="001B551A" w:rsidRDefault="004134B8" w:rsidP="001B551A">
      <w:r w:rsidRPr="001B551A">
        <w:t>Respectfully,</w:t>
      </w:r>
    </w:p>
    <w:p w14:paraId="1C4C46B9" w14:textId="3541E1CD" w:rsidR="004134B8" w:rsidRPr="001B551A" w:rsidRDefault="004134B8" w:rsidP="001B551A"/>
    <w:p w14:paraId="3B8050F6" w14:textId="44AEBEE4" w:rsidR="004134B8" w:rsidRPr="001B551A" w:rsidRDefault="004134B8" w:rsidP="001B551A"/>
    <w:p w14:paraId="7EDDFC47" w14:textId="25242CA0" w:rsidR="004134B8" w:rsidRPr="001B551A" w:rsidRDefault="004134B8" w:rsidP="001B551A"/>
    <w:p w14:paraId="77D0C146" w14:textId="62A541EB" w:rsidR="004134B8" w:rsidRPr="001B551A" w:rsidRDefault="004134B8" w:rsidP="00141F38">
      <w:pPr>
        <w:spacing w:after="0"/>
      </w:pPr>
      <w:r w:rsidRPr="001B551A">
        <w:t xml:space="preserve">Jane </w:t>
      </w:r>
      <w:r w:rsidR="003465C1">
        <w:t>Brown</w:t>
      </w:r>
      <w:r w:rsidRPr="001B551A">
        <w:t>, OT</w:t>
      </w:r>
    </w:p>
    <w:p w14:paraId="6F6A2F85" w14:textId="71E021AF" w:rsidR="004134B8" w:rsidRPr="001B551A" w:rsidRDefault="004134B8" w:rsidP="00141F38">
      <w:pPr>
        <w:spacing w:after="0"/>
      </w:pPr>
      <w:r w:rsidRPr="001B551A">
        <w:t>ABC Facility Name</w:t>
      </w:r>
    </w:p>
    <w:p w14:paraId="3E792BD6" w14:textId="64D6F90B" w:rsidR="004134B8" w:rsidRPr="001B551A" w:rsidRDefault="004134B8" w:rsidP="00141F38">
      <w:pPr>
        <w:spacing w:after="0"/>
      </w:pPr>
      <w:r w:rsidRPr="001B551A">
        <w:t>Date: XX/XX/XXXX</w:t>
      </w:r>
    </w:p>
    <w:sectPr w:rsidR="004134B8" w:rsidRPr="001B551A" w:rsidSect="005E32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A4728"/>
    <w:multiLevelType w:val="hybridMultilevel"/>
    <w:tmpl w:val="2DD2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954A1"/>
    <w:multiLevelType w:val="hybridMultilevel"/>
    <w:tmpl w:val="E9949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7686D"/>
    <w:multiLevelType w:val="hybridMultilevel"/>
    <w:tmpl w:val="E2CA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F030E"/>
    <w:multiLevelType w:val="hybridMultilevel"/>
    <w:tmpl w:val="D3F6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00219"/>
    <w:multiLevelType w:val="hybridMultilevel"/>
    <w:tmpl w:val="E822E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B15E36"/>
    <w:multiLevelType w:val="hybridMultilevel"/>
    <w:tmpl w:val="33F0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C7335"/>
    <w:multiLevelType w:val="hybridMultilevel"/>
    <w:tmpl w:val="ED4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21B7A"/>
    <w:multiLevelType w:val="hybridMultilevel"/>
    <w:tmpl w:val="797E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51094"/>
    <w:multiLevelType w:val="hybridMultilevel"/>
    <w:tmpl w:val="6D4C9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2E642F"/>
    <w:multiLevelType w:val="hybridMultilevel"/>
    <w:tmpl w:val="0F4E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2"/>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97"/>
    <w:rsid w:val="0005519C"/>
    <w:rsid w:val="000934FD"/>
    <w:rsid w:val="000B3123"/>
    <w:rsid w:val="000B3597"/>
    <w:rsid w:val="000B6AE4"/>
    <w:rsid w:val="00141F38"/>
    <w:rsid w:val="00192508"/>
    <w:rsid w:val="001B551A"/>
    <w:rsid w:val="001F1B4B"/>
    <w:rsid w:val="002E1D5A"/>
    <w:rsid w:val="003465C1"/>
    <w:rsid w:val="003A14C3"/>
    <w:rsid w:val="003E12DA"/>
    <w:rsid w:val="003E7B64"/>
    <w:rsid w:val="004134B8"/>
    <w:rsid w:val="0044155C"/>
    <w:rsid w:val="004D5682"/>
    <w:rsid w:val="005815D6"/>
    <w:rsid w:val="005821AE"/>
    <w:rsid w:val="005E3290"/>
    <w:rsid w:val="00637790"/>
    <w:rsid w:val="0067436C"/>
    <w:rsid w:val="006C5604"/>
    <w:rsid w:val="00746B68"/>
    <w:rsid w:val="0077136A"/>
    <w:rsid w:val="008D437F"/>
    <w:rsid w:val="008F03FE"/>
    <w:rsid w:val="009225D1"/>
    <w:rsid w:val="0093358D"/>
    <w:rsid w:val="009C04F3"/>
    <w:rsid w:val="00AC2188"/>
    <w:rsid w:val="00C0562F"/>
    <w:rsid w:val="00CE3FE7"/>
    <w:rsid w:val="00D4690C"/>
    <w:rsid w:val="00D92F6F"/>
    <w:rsid w:val="00DE29D7"/>
    <w:rsid w:val="00E0334E"/>
    <w:rsid w:val="00E56A07"/>
    <w:rsid w:val="00EA30F7"/>
    <w:rsid w:val="00ED2F55"/>
    <w:rsid w:val="00F90235"/>
    <w:rsid w:val="00FF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463A"/>
  <w15:chartTrackingRefBased/>
  <w15:docId w15:val="{27859F95-CF7D-49C2-9400-E0202AA5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4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3FE7"/>
    <w:rPr>
      <w:color w:val="0000FF"/>
      <w:u w:val="single"/>
    </w:rPr>
  </w:style>
  <w:style w:type="paragraph" w:styleId="ListParagraph">
    <w:name w:val="List Paragraph"/>
    <w:basedOn w:val="Normal"/>
    <w:uiPriority w:val="34"/>
    <w:qFormat/>
    <w:rsid w:val="00AC2188"/>
    <w:pPr>
      <w:ind w:left="720"/>
      <w:contextualSpacing/>
    </w:pPr>
  </w:style>
  <w:style w:type="paragraph" w:styleId="BalloonText">
    <w:name w:val="Balloon Text"/>
    <w:basedOn w:val="Normal"/>
    <w:link w:val="BalloonTextChar"/>
    <w:uiPriority w:val="99"/>
    <w:semiHidden/>
    <w:unhideWhenUsed/>
    <w:rsid w:val="004D5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433397">
      <w:bodyDiv w:val="1"/>
      <w:marLeft w:val="0"/>
      <w:marRight w:val="0"/>
      <w:marTop w:val="0"/>
      <w:marBottom w:val="0"/>
      <w:divBdr>
        <w:top w:val="none" w:sz="0" w:space="0" w:color="auto"/>
        <w:left w:val="none" w:sz="0" w:space="0" w:color="auto"/>
        <w:bottom w:val="none" w:sz="0" w:space="0" w:color="auto"/>
        <w:right w:val="none" w:sz="0" w:space="0" w:color="auto"/>
      </w:divBdr>
    </w:div>
    <w:div w:id="653339680">
      <w:bodyDiv w:val="1"/>
      <w:marLeft w:val="0"/>
      <w:marRight w:val="0"/>
      <w:marTop w:val="0"/>
      <w:marBottom w:val="0"/>
      <w:divBdr>
        <w:top w:val="none" w:sz="0" w:space="0" w:color="auto"/>
        <w:left w:val="none" w:sz="0" w:space="0" w:color="auto"/>
        <w:bottom w:val="none" w:sz="0" w:space="0" w:color="auto"/>
        <w:right w:val="none" w:sz="0" w:space="0" w:color="auto"/>
      </w:divBdr>
    </w:div>
    <w:div w:id="653795660">
      <w:bodyDiv w:val="1"/>
      <w:marLeft w:val="0"/>
      <w:marRight w:val="0"/>
      <w:marTop w:val="0"/>
      <w:marBottom w:val="0"/>
      <w:divBdr>
        <w:top w:val="none" w:sz="0" w:space="0" w:color="auto"/>
        <w:left w:val="none" w:sz="0" w:space="0" w:color="auto"/>
        <w:bottom w:val="none" w:sz="0" w:space="0" w:color="auto"/>
        <w:right w:val="none" w:sz="0" w:space="0" w:color="auto"/>
      </w:divBdr>
      <w:divsChild>
        <w:div w:id="934288327">
          <w:marLeft w:val="230"/>
          <w:marRight w:val="0"/>
          <w:marTop w:val="0"/>
          <w:marBottom w:val="0"/>
          <w:divBdr>
            <w:top w:val="none" w:sz="0" w:space="0" w:color="auto"/>
            <w:left w:val="none" w:sz="0" w:space="0" w:color="auto"/>
            <w:bottom w:val="none" w:sz="0" w:space="0" w:color="auto"/>
            <w:right w:val="none" w:sz="0" w:space="0" w:color="auto"/>
          </w:divBdr>
          <w:divsChild>
            <w:div w:id="6135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9066">
      <w:bodyDiv w:val="1"/>
      <w:marLeft w:val="0"/>
      <w:marRight w:val="0"/>
      <w:marTop w:val="0"/>
      <w:marBottom w:val="0"/>
      <w:divBdr>
        <w:top w:val="none" w:sz="0" w:space="0" w:color="auto"/>
        <w:left w:val="none" w:sz="0" w:space="0" w:color="auto"/>
        <w:bottom w:val="none" w:sz="0" w:space="0" w:color="auto"/>
        <w:right w:val="none" w:sz="0" w:space="0" w:color="auto"/>
      </w:divBdr>
    </w:div>
    <w:div w:id="1398285791">
      <w:bodyDiv w:val="1"/>
      <w:marLeft w:val="0"/>
      <w:marRight w:val="0"/>
      <w:marTop w:val="0"/>
      <w:marBottom w:val="0"/>
      <w:divBdr>
        <w:top w:val="none" w:sz="0" w:space="0" w:color="auto"/>
        <w:left w:val="none" w:sz="0" w:space="0" w:color="auto"/>
        <w:bottom w:val="none" w:sz="0" w:space="0" w:color="auto"/>
        <w:right w:val="none" w:sz="0" w:space="0" w:color="auto"/>
      </w:divBdr>
    </w:div>
    <w:div w:id="1558055226">
      <w:bodyDiv w:val="1"/>
      <w:marLeft w:val="0"/>
      <w:marRight w:val="0"/>
      <w:marTop w:val="0"/>
      <w:marBottom w:val="0"/>
      <w:divBdr>
        <w:top w:val="none" w:sz="0" w:space="0" w:color="auto"/>
        <w:left w:val="none" w:sz="0" w:space="0" w:color="auto"/>
        <w:bottom w:val="none" w:sz="0" w:space="0" w:color="auto"/>
        <w:right w:val="none" w:sz="0" w:space="0" w:color="auto"/>
      </w:divBdr>
    </w:div>
    <w:div w:id="1759323460">
      <w:bodyDiv w:val="1"/>
      <w:marLeft w:val="0"/>
      <w:marRight w:val="0"/>
      <w:marTop w:val="0"/>
      <w:marBottom w:val="0"/>
      <w:divBdr>
        <w:top w:val="none" w:sz="0" w:space="0" w:color="auto"/>
        <w:left w:val="none" w:sz="0" w:space="0" w:color="auto"/>
        <w:bottom w:val="none" w:sz="0" w:space="0" w:color="auto"/>
        <w:right w:val="none" w:sz="0" w:space="0" w:color="auto"/>
      </w:divBdr>
    </w:div>
    <w:div w:id="1790783562">
      <w:bodyDiv w:val="1"/>
      <w:marLeft w:val="0"/>
      <w:marRight w:val="0"/>
      <w:marTop w:val="0"/>
      <w:marBottom w:val="0"/>
      <w:divBdr>
        <w:top w:val="none" w:sz="0" w:space="0" w:color="auto"/>
        <w:left w:val="none" w:sz="0" w:space="0" w:color="auto"/>
        <w:bottom w:val="none" w:sz="0" w:space="0" w:color="auto"/>
        <w:right w:val="none" w:sz="0" w:space="0" w:color="auto"/>
      </w:divBdr>
    </w:div>
    <w:div w:id="1938635994">
      <w:bodyDiv w:val="1"/>
      <w:marLeft w:val="0"/>
      <w:marRight w:val="0"/>
      <w:marTop w:val="0"/>
      <w:marBottom w:val="0"/>
      <w:divBdr>
        <w:top w:val="none" w:sz="0" w:space="0" w:color="auto"/>
        <w:left w:val="none" w:sz="0" w:space="0" w:color="auto"/>
        <w:bottom w:val="none" w:sz="0" w:space="0" w:color="auto"/>
        <w:right w:val="none" w:sz="0" w:space="0" w:color="auto"/>
      </w:divBdr>
    </w:div>
    <w:div w:id="1981032438">
      <w:bodyDiv w:val="1"/>
      <w:marLeft w:val="0"/>
      <w:marRight w:val="0"/>
      <w:marTop w:val="0"/>
      <w:marBottom w:val="0"/>
      <w:divBdr>
        <w:top w:val="none" w:sz="0" w:space="0" w:color="auto"/>
        <w:left w:val="none" w:sz="0" w:space="0" w:color="auto"/>
        <w:bottom w:val="none" w:sz="0" w:space="0" w:color="auto"/>
        <w:right w:val="none" w:sz="0" w:space="0" w:color="auto"/>
      </w:divBdr>
    </w:div>
    <w:div w:id="20240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D1C61-F12D-48B9-8B34-C4583809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dc:creator>
  <cp:keywords/>
  <dc:description/>
  <cp:lastModifiedBy>Brandy</cp:lastModifiedBy>
  <cp:revision>27</cp:revision>
  <cp:lastPrinted>2019-11-12T15:25:00Z</cp:lastPrinted>
  <dcterms:created xsi:type="dcterms:W3CDTF">2019-11-11T15:21:00Z</dcterms:created>
  <dcterms:modified xsi:type="dcterms:W3CDTF">2019-11-13T18:09:00Z</dcterms:modified>
</cp:coreProperties>
</file>